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030C5" w:rsidRDefault="007379F5">
      <w:pPr>
        <w:jc w:val="right"/>
      </w:pPr>
      <w:r>
        <w:t>Załącznik nr 6 do ZW 121/2020</w:t>
      </w:r>
    </w:p>
    <w:p w:rsidR="008030C5" w:rsidRDefault="008030C5">
      <w:pPr>
        <w:jc w:val="right"/>
      </w:pPr>
    </w:p>
    <w:tbl>
      <w:tblPr>
        <w:tblStyle w:val="af3"/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8030C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b/>
              </w:rPr>
            </w:pPr>
            <w:r>
              <w:rPr>
                <w:b/>
              </w:rPr>
              <w:t xml:space="preserve">WYDZIAŁ ZARZĄDZANIA </w:t>
            </w:r>
          </w:p>
          <w:p w:rsidR="008030C5" w:rsidRDefault="008030C5" w:rsidP="007379F5">
            <w:pPr>
              <w:pStyle w:val="Nagwek2"/>
              <w:numPr>
                <w:ilvl w:val="0"/>
                <w:numId w:val="0"/>
              </w:numPr>
              <w:ind w:left="1440"/>
            </w:pPr>
          </w:p>
          <w:p w:rsidR="008030C5" w:rsidRDefault="007379F5" w:rsidP="007379F5">
            <w:pPr>
              <w:pStyle w:val="Nagwek2"/>
              <w:numPr>
                <w:ilvl w:val="0"/>
                <w:numId w:val="0"/>
              </w:numPr>
              <w:ind w:left="1080" w:hanging="360"/>
              <w:jc w:val="center"/>
            </w:pPr>
            <w:r>
              <w:t>KARTA PRZEDMIOTU</w:t>
            </w:r>
          </w:p>
          <w:p w:rsidR="008030C5" w:rsidRDefault="008030C5"/>
          <w:p w:rsidR="008030C5" w:rsidRDefault="007379F5" w:rsidP="007379F5">
            <w:pPr>
              <w:pStyle w:val="Nagwek2"/>
              <w:numPr>
                <w:ilvl w:val="0"/>
                <w:numId w:val="0"/>
              </w:numPr>
            </w:pPr>
            <w:r>
              <w:t>Nazwa przedmiotu w języku polskim:      Prawo dla inżynierów</w:t>
            </w:r>
            <w:r>
              <w:rPr>
                <w:color w:val="000000"/>
              </w:rPr>
              <w:t xml:space="preserve"> </w:t>
            </w:r>
          </w:p>
          <w:p w:rsidR="008030C5" w:rsidRDefault="007379F5" w:rsidP="007379F5">
            <w:pPr>
              <w:pStyle w:val="Nagwek2"/>
              <w:numPr>
                <w:ilvl w:val="0"/>
                <w:numId w:val="0"/>
              </w:numPr>
            </w:pPr>
            <w:r>
              <w:t xml:space="preserve">Nazwa przedmiotu w języku angielskim: </w:t>
            </w:r>
            <w:r>
              <w:rPr>
                <w:color w:val="000000"/>
              </w:rPr>
              <w:t xml:space="preserve">Law for </w:t>
            </w:r>
            <w:proofErr w:type="spellStart"/>
            <w:r>
              <w:rPr>
                <w:color w:val="000000"/>
              </w:rPr>
              <w:t>engineers</w:t>
            </w:r>
            <w:proofErr w:type="spellEnd"/>
          </w:p>
          <w:p w:rsidR="008030C5" w:rsidRDefault="007379F5" w:rsidP="007379F5">
            <w:pPr>
              <w:pStyle w:val="Nagwek2"/>
              <w:numPr>
                <w:ilvl w:val="0"/>
                <w:numId w:val="0"/>
              </w:numPr>
            </w:pPr>
            <w:r>
              <w:t>Kierunek studiów: Inżynieria zarządzania</w:t>
            </w:r>
          </w:p>
          <w:p w:rsidR="008030C5" w:rsidRDefault="007379F5" w:rsidP="007379F5">
            <w:pPr>
              <w:pStyle w:val="Nagwek2"/>
              <w:numPr>
                <w:ilvl w:val="0"/>
                <w:numId w:val="0"/>
              </w:numPr>
            </w:pPr>
            <w:bookmarkStart w:id="0" w:name="_heading=h.gjdgxs" w:colFirst="0" w:colLast="0"/>
            <w:bookmarkEnd w:id="0"/>
            <w:r>
              <w:t xml:space="preserve">Specjalność: </w:t>
            </w:r>
          </w:p>
          <w:p w:rsidR="008030C5" w:rsidRDefault="007379F5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8030C5" w:rsidRDefault="007379F5"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:rsidR="008030C5" w:rsidRDefault="007379F5">
            <w:bookmarkStart w:id="1" w:name="_heading=h.30j0zll" w:colFirst="0" w:colLast="0"/>
            <w:bookmarkEnd w:id="1"/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color w:val="000000"/>
              </w:rPr>
              <w:t>W08IZZ-SI0004</w:t>
            </w:r>
          </w:p>
          <w:p w:rsidR="008030C5" w:rsidRDefault="007379F5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tbl>
      <w:tblPr>
        <w:tblStyle w:val="af4"/>
        <w:tblW w:w="906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6"/>
        <w:gridCol w:w="1253"/>
        <w:gridCol w:w="1426"/>
        <w:gridCol w:w="1253"/>
        <w:gridCol w:w="1301"/>
      </w:tblGrid>
      <w:tr w:rsidR="008030C5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rPr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8030C5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rPr>
                <w:sz w:val="22"/>
                <w:szCs w:val="22"/>
              </w:rPr>
            </w:pPr>
          </w:p>
        </w:tc>
      </w:tr>
      <w:tr w:rsidR="008030C5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CA53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rPr>
                <w:sz w:val="22"/>
                <w:szCs w:val="22"/>
              </w:rPr>
            </w:pPr>
          </w:p>
        </w:tc>
      </w:tr>
      <w:tr w:rsidR="008030C5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Zaliczenie na ocenę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ind w:left="720"/>
              <w:rPr>
                <w:sz w:val="20"/>
                <w:szCs w:val="20"/>
              </w:rPr>
            </w:pPr>
          </w:p>
        </w:tc>
      </w:tr>
      <w:tr w:rsidR="008030C5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</w:tr>
      <w:tr w:rsidR="008030C5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</w:tr>
      <w:tr w:rsidR="008030C5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8030C5" w:rsidRDefault="007379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</w:tr>
      <w:tr w:rsidR="008030C5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CA53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CA531A">
              <w:rPr>
                <w:b/>
                <w:sz w:val="22"/>
                <w:szCs w:val="22"/>
              </w:rPr>
              <w:t>6</w:t>
            </w:r>
            <w:bookmarkStart w:id="2" w:name="_GoBack"/>
            <w:bookmarkEnd w:id="2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>
            <w:pPr>
              <w:jc w:val="center"/>
              <w:rPr>
                <w:sz w:val="22"/>
                <w:szCs w:val="22"/>
              </w:rPr>
            </w:pPr>
          </w:p>
        </w:tc>
      </w:tr>
    </w:tbl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tbl>
      <w:tblPr>
        <w:tblStyle w:val="af5"/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8030C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8030C5" w:rsidRDefault="007379F5">
            <w:pPr>
              <w:numPr>
                <w:ilvl w:val="0"/>
                <w:numId w:val="1"/>
              </w:numPr>
              <w:ind w:left="357" w:hanging="347"/>
            </w:pPr>
            <w:r>
              <w:rPr>
                <w:color w:val="1C1C1C"/>
              </w:rPr>
              <w:t>Ogólna wiedza o społeczeństwie, gospodarce, prawie i państwie</w:t>
            </w:r>
          </w:p>
        </w:tc>
      </w:tr>
    </w:tbl>
    <w:p w:rsidR="008030C5" w:rsidRDefault="008030C5">
      <w:pPr>
        <w:rPr>
          <w:sz w:val="12"/>
          <w:szCs w:val="12"/>
        </w:rPr>
      </w:pPr>
    </w:p>
    <w:p w:rsidR="008030C5" w:rsidRDefault="007379F5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06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8030C5"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8030C5" w:rsidRDefault="007379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 </w:t>
            </w:r>
            <w:r>
              <w:rPr>
                <w:sz w:val="22"/>
                <w:szCs w:val="22"/>
              </w:rPr>
              <w:t>Z</w:t>
            </w:r>
            <w:r>
              <w:rPr>
                <w:color w:val="000000"/>
                <w:sz w:val="22"/>
                <w:szCs w:val="22"/>
              </w:rPr>
              <w:t>apoznanie studentów z podstawową wiedzą w zakresie prawa, zwłaszcza regulacji prawnych dotyczących działalności gospodarczej przedsiębiorstw</w:t>
            </w:r>
          </w:p>
          <w:p w:rsidR="008030C5" w:rsidRDefault="007379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 Omówienie formalno-organizacyjnych aspektów odpowiedzialności prawnej- zawodowej inżyniera w działalności gospodarczej.</w:t>
            </w:r>
          </w:p>
        </w:tc>
      </w:tr>
    </w:tbl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tbl>
      <w:tblPr>
        <w:tblStyle w:val="af7"/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8030C5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pStyle w:val="Nagwek4"/>
              <w:keepNext w:val="0"/>
              <w:numPr>
                <w:ilvl w:val="3"/>
                <w:numId w:val="2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8030C5" w:rsidRDefault="007379F5">
            <w:pPr>
              <w:tabs>
                <w:tab w:val="left" w:pos="719"/>
              </w:tabs>
              <w:ind w:left="719"/>
              <w:rPr>
                <w:b/>
              </w:rPr>
            </w:pPr>
            <w:r>
              <w:rPr>
                <w:b/>
              </w:rPr>
              <w:t>Z zakresu wiedzy:</w:t>
            </w:r>
          </w:p>
          <w:p w:rsidR="008030C5" w:rsidRDefault="007379F5">
            <w:pPr>
              <w:jc w:val="both"/>
            </w:pPr>
            <w:r>
              <w:t>PEU_W01  ma podstawową wiedzę w zakresie  uwarunkowań prawnych potrzebną do zrozumienia i rozwiązywania elementarnych problemów natury społecznej występujących w działalności gospodarczej</w:t>
            </w:r>
          </w:p>
          <w:p w:rsidR="008030C5" w:rsidRDefault="007379F5">
            <w:pPr>
              <w:tabs>
                <w:tab w:val="left" w:pos="7"/>
              </w:tabs>
              <w:jc w:val="both"/>
            </w:pPr>
            <w:r>
              <w:t>PEU_W02 ma podstawową wiedzę niezbędną do rozumienia prawnych uwarunkowań działalności inżynierskiej</w:t>
            </w:r>
          </w:p>
          <w:p w:rsidR="008030C5" w:rsidRDefault="007379F5">
            <w:pPr>
              <w:tabs>
                <w:tab w:val="left" w:pos="719"/>
              </w:tabs>
              <w:ind w:left="719"/>
            </w:pPr>
            <w:r>
              <w:rPr>
                <w:b/>
              </w:rPr>
              <w:t>Z zakresu umiejętności</w:t>
            </w:r>
            <w:r>
              <w:t>:</w:t>
            </w:r>
          </w:p>
          <w:p w:rsidR="008030C5" w:rsidRDefault="007379F5">
            <w:pPr>
              <w:jc w:val="both"/>
            </w:pPr>
            <w:r>
              <w:t>PEU_U01 posiada umiejętność analizowania przyczyn i dynamiki zjawisk w organizacji i jej otoczeniu w warunkach gospodarki rynkowej i obowiązujących regulacji ekonomiczno-prawnych. Potrafi identyfikować i analizować typowe problemy zarządcze i merytoryczne w organizacji oraz w jej obszarach funkcjonalnych</w:t>
            </w:r>
          </w:p>
          <w:p w:rsidR="008030C5" w:rsidRDefault="007379F5">
            <w:pPr>
              <w:jc w:val="both"/>
            </w:pPr>
            <w:r>
              <w:t>PEU_U02 potrafi identyfikować - na poziomie podstawowym, typowe problemy zarządcze i merytoryczne w organizacji i w jej poszczególnych obszarach funkcjonalnych. Potrafi formułować alternatywne ich rozwiązania, umie uzasadnić, dokonać wyboru oraz weryfikować je zgodnie z ustalonymi priorytetami. Potrafi zaplanować działania służące ich rozwiązaniu</w:t>
            </w:r>
          </w:p>
          <w:p w:rsidR="008030C5" w:rsidRDefault="007379F5">
            <w:pPr>
              <w:jc w:val="both"/>
            </w:pPr>
            <w:r>
              <w:t>PEU_U03 potrafi identyfikować prawne, aspekty swojej działalności inżynierskiej, a także menedżerskiej</w:t>
            </w:r>
          </w:p>
          <w:p w:rsidR="008030C5" w:rsidRDefault="007379F5">
            <w:pPr>
              <w:tabs>
                <w:tab w:val="left" w:pos="719"/>
              </w:tabs>
              <w:ind w:left="719"/>
              <w:rPr>
                <w:b/>
              </w:rPr>
            </w:pPr>
            <w:r>
              <w:rPr>
                <w:b/>
              </w:rPr>
              <w:t>Z zakresu kompetencji społecznych:</w:t>
            </w:r>
          </w:p>
          <w:p w:rsidR="008030C5" w:rsidRDefault="007379F5">
            <w:r>
              <w:t>PEU_K01</w:t>
            </w:r>
          </w:p>
          <w:p w:rsidR="008030C5" w:rsidRDefault="007379F5">
            <w:pPr>
              <w:jc w:val="both"/>
            </w:pPr>
            <w:r>
              <w:t>jest przygotowany do inicjowania zmian w miejscu pracy i uczestnictwa w ich planowaniu i wdrażaniu</w:t>
            </w:r>
          </w:p>
          <w:p w:rsidR="008030C5" w:rsidRDefault="007379F5">
            <w:r>
              <w:t>PEU_K02</w:t>
            </w:r>
          </w:p>
          <w:p w:rsidR="008030C5" w:rsidRDefault="007379F5">
            <w:pPr>
              <w:rPr>
                <w:b/>
              </w:rPr>
            </w:pPr>
            <w:r>
              <w:t>potrafi interpretować prawne skutki działalności inżynierskiej</w:t>
            </w:r>
          </w:p>
          <w:p w:rsidR="008030C5" w:rsidRDefault="008030C5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</w:p>
        </w:tc>
      </w:tr>
    </w:tbl>
    <w:p w:rsidR="008030C5" w:rsidRDefault="008030C5">
      <w:pPr>
        <w:rPr>
          <w:sz w:val="20"/>
          <w:szCs w:val="20"/>
          <w:vertAlign w:val="superscript"/>
        </w:rPr>
      </w:pPr>
    </w:p>
    <w:p w:rsidR="008030C5" w:rsidRDefault="008030C5">
      <w:pPr>
        <w:rPr>
          <w:color w:val="FF0000"/>
        </w:rPr>
      </w:pPr>
    </w:p>
    <w:tbl>
      <w:tblPr>
        <w:tblStyle w:val="af8"/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030C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8030C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pStyle w:val="Nagwek3"/>
              <w:numPr>
                <w:ilvl w:val="2"/>
                <w:numId w:val="2"/>
              </w:numPr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pStyle w:val="Nagwek5"/>
              <w:spacing w:before="60" w:after="20"/>
            </w:pPr>
            <w:r>
              <w:t xml:space="preserve">Liczba godzin 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Omówienie organizacji zajęć i zasad zaliczenia kursu</w:t>
            </w:r>
          </w:p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Pojęcie, istota i znaczenie przepisów prawa  w działalności gospodarczej przedsiębiorstw.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Formy organizacyjno-prawne przedsiębiorstw – ogólna charakterystyka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Prawne as</w:t>
            </w:r>
            <w:r>
              <w:rPr>
                <w:sz w:val="22"/>
                <w:szCs w:val="22"/>
              </w:rPr>
              <w:t>pek</w:t>
            </w:r>
            <w:r>
              <w:rPr>
                <w:color w:val="000000"/>
                <w:sz w:val="22"/>
                <w:szCs w:val="22"/>
              </w:rPr>
              <w:t>ty przedsiębiorczości inżynierskiej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Typologia i przegląd umów w obrocie gospodarczym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Prawne i praktyczne as</w:t>
            </w:r>
            <w:r>
              <w:rPr>
                <w:sz w:val="22"/>
                <w:szCs w:val="22"/>
              </w:rPr>
              <w:t>pek</w:t>
            </w:r>
            <w:r>
              <w:rPr>
                <w:color w:val="000000"/>
                <w:sz w:val="22"/>
                <w:szCs w:val="22"/>
              </w:rPr>
              <w:t>ty reguł interpretacyjnych umów stosowanych w działalności gospodarczej przedsiębiorstw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Status prawny projektów inżynierskich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Proces  wdrożenia projektów inżynierskich – as</w:t>
            </w:r>
            <w:r>
              <w:rPr>
                <w:sz w:val="22"/>
                <w:szCs w:val="22"/>
              </w:rPr>
              <w:t>pek</w:t>
            </w:r>
            <w:r>
              <w:rPr>
                <w:color w:val="000000"/>
                <w:sz w:val="22"/>
                <w:szCs w:val="22"/>
              </w:rPr>
              <w:t>ty prawno-organizacyjne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Ochrona dokumentacji projektowej, technicznej i użytkowej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lastRenderedPageBreak/>
              <w:t>W 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Prawo zamówień publicznych – procedury przetargowe i ich znaczenie w działalności gospodarczej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Problematyka prawna „publicznych” i ‘prywatnych” postępowań przetargowych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jc w:val="both"/>
              <w:rPr>
                <w:color w:val="000000"/>
              </w:rPr>
            </w:pPr>
            <w:r>
              <w:rPr>
                <w:color w:val="141F2C"/>
                <w:sz w:val="22"/>
                <w:szCs w:val="22"/>
              </w:rPr>
              <w:t xml:space="preserve">Elementy prawa pracy dla inżynierów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Kwalifikacje inżynierskie w świetle przepisów krajowych i europejskich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Inżynier menedżerem – lider techniczny, zarządzanie ludźmi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Odpowiedzialność prawna i zawodowa inżyniera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W 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</w:pPr>
            <w:r>
              <w:t>Pisemny test sprawdzający wiedzę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</w:pPr>
            <w:r>
              <w:t>2</w:t>
            </w:r>
          </w:p>
        </w:tc>
      </w:tr>
      <w:tr w:rsidR="008030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8030C5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0C5" w:rsidRDefault="007379F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8030C5" w:rsidRDefault="008030C5">
      <w:pPr>
        <w:rPr>
          <w:sz w:val="12"/>
          <w:szCs w:val="12"/>
        </w:rPr>
      </w:pPr>
    </w:p>
    <w:tbl>
      <w:tblPr>
        <w:tblStyle w:val="af9"/>
        <w:tblW w:w="9209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6815"/>
        <w:gridCol w:w="1584"/>
      </w:tblGrid>
      <w:tr w:rsidR="008030C5"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organizacji i zasad zaliczenia kursu</w:t>
            </w:r>
          </w:p>
          <w:p w:rsidR="008030C5" w:rsidRDefault="007379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tematyki umów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Ćw2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both"/>
            </w:pPr>
            <w:r>
              <w:rPr>
                <w:sz w:val="22"/>
                <w:szCs w:val="22"/>
              </w:rPr>
              <w:t>Umowy zatrudnienia w świetle obowiązujących przepisów prawnych. Charakterystyka umów cywilnoprawnych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rPr>
                <w:sz w:val="22"/>
                <w:szCs w:val="22"/>
              </w:rPr>
              <w:t>Ćw3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Kontrakt menedżerski jako podstawa zatrudnienia inżyniera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rPr>
                <w:sz w:val="22"/>
                <w:szCs w:val="22"/>
              </w:rPr>
              <w:t>Ćw4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both"/>
            </w:pPr>
            <w:r>
              <w:rPr>
                <w:sz w:val="22"/>
                <w:szCs w:val="22"/>
              </w:rPr>
              <w:t>Odpowiedzialność dyscyplinarna i zawodowa inżyniera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rPr>
                <w:sz w:val="22"/>
                <w:szCs w:val="22"/>
              </w:rPr>
              <w:t>Ćw5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both"/>
            </w:pPr>
            <w:r>
              <w:rPr>
                <w:sz w:val="22"/>
                <w:szCs w:val="22"/>
              </w:rPr>
              <w:t>Status prawny i obowiązki inżyniera w zarządzaniu projektami w procedurach FIDIC  - zagadnienia formalnoprawne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t>Ćw6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both"/>
            </w:pPr>
            <w:r>
              <w:rPr>
                <w:sz w:val="22"/>
                <w:szCs w:val="22"/>
              </w:rPr>
              <w:t>Odpowiedzialność deliktowa i kontraktowa inżyniera w realizacji projektów inwestycyjnych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t>Ćw7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before="20" w:after="20"/>
              <w:jc w:val="both"/>
            </w:pPr>
            <w:r>
              <w:rPr>
                <w:sz w:val="22"/>
                <w:szCs w:val="22"/>
              </w:rPr>
              <w:t>Prawne aspekty etycznego wykonywania zawodu inżyniera. Kodeks Etyki Zawodowej Inżyniera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t>Ćw8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jc w:val="both"/>
            </w:pPr>
            <w:r>
              <w:rPr>
                <w:sz w:val="22"/>
                <w:szCs w:val="22"/>
              </w:rPr>
              <w:t>Pisemne kolokwium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030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8030C5"/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tbl>
      <w:tblPr>
        <w:tblStyle w:val="afa"/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8030C5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pStyle w:val="Nagwek3"/>
              <w:numPr>
                <w:ilvl w:val="2"/>
                <w:numId w:val="2"/>
              </w:numPr>
              <w:spacing w:before="60" w:after="20"/>
            </w:pPr>
            <w:r>
              <w:t xml:space="preserve"> STOSOWANE NARZĘDZIA DYDAKTYCZNE</w:t>
            </w:r>
          </w:p>
        </w:tc>
      </w:tr>
      <w:tr w:rsidR="008030C5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ind w:left="498" w:hanging="498"/>
            </w:pPr>
            <w:r>
              <w:t>N1. prezentacje</w:t>
            </w:r>
          </w:p>
          <w:p w:rsidR="008030C5" w:rsidRDefault="007379F5">
            <w:pPr>
              <w:ind w:left="498" w:hanging="498"/>
            </w:pPr>
            <w:r>
              <w:t>N2. analiza przypadków</w:t>
            </w:r>
          </w:p>
          <w:p w:rsidR="008030C5" w:rsidRDefault="007379F5">
            <w:pPr>
              <w:ind w:left="498" w:hanging="498"/>
            </w:pPr>
            <w:r>
              <w:t>N3. dyskusja</w:t>
            </w:r>
          </w:p>
        </w:tc>
      </w:tr>
    </w:tbl>
    <w:p w:rsidR="008030C5" w:rsidRDefault="008030C5">
      <w:pPr>
        <w:rPr>
          <w:sz w:val="12"/>
          <w:szCs w:val="12"/>
        </w:rPr>
      </w:pPr>
    </w:p>
    <w:p w:rsidR="008030C5" w:rsidRDefault="007379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b"/>
        <w:tblW w:w="9209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6"/>
        <w:gridCol w:w="2471"/>
        <w:gridCol w:w="4252"/>
      </w:tblGrid>
      <w:tr w:rsidR="008030C5"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8030C5"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t>F1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t>PEU_W01, PEU_W02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w formie testu</w:t>
            </w:r>
          </w:p>
        </w:tc>
      </w:tr>
      <w:tr w:rsidR="008030C5"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t>F2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tabs>
                <w:tab w:val="left" w:pos="719"/>
              </w:tabs>
            </w:pPr>
            <w:r>
              <w:t>PEU_U01, PEU_U02</w:t>
            </w:r>
          </w:p>
          <w:p w:rsidR="008030C5" w:rsidRDefault="007379F5">
            <w:pPr>
              <w:tabs>
                <w:tab w:val="left" w:pos="719"/>
              </w:tabs>
            </w:pPr>
            <w:r>
              <w:t>PEU_U03, PEU_K01</w:t>
            </w:r>
          </w:p>
          <w:p w:rsidR="008030C5" w:rsidRDefault="007379F5">
            <w:r>
              <w:t>PEU_K02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rPr>
                <w:sz w:val="22"/>
                <w:szCs w:val="22"/>
              </w:rPr>
              <w:t>Pisemne kolokwium</w:t>
            </w:r>
          </w:p>
        </w:tc>
      </w:tr>
      <w:tr w:rsidR="008030C5">
        <w:trPr>
          <w:trHeight w:val="240"/>
        </w:trPr>
        <w:tc>
          <w:tcPr>
            <w:tcW w:w="920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color w:val="1C1C1C"/>
              </w:rPr>
            </w:pPr>
            <w:r>
              <w:rPr>
                <w:color w:val="1C1C1C"/>
              </w:rPr>
              <w:t>P wykład = F1</w:t>
            </w:r>
          </w:p>
          <w:p w:rsidR="008030C5" w:rsidRDefault="007379F5">
            <w:pPr>
              <w:rPr>
                <w:color w:val="1C1C1C"/>
              </w:rPr>
            </w:pPr>
            <w:r>
              <w:rPr>
                <w:color w:val="1C1C1C"/>
              </w:rPr>
              <w:t>P ćwiczenia = F2</w:t>
            </w:r>
          </w:p>
        </w:tc>
      </w:tr>
    </w:tbl>
    <w:p w:rsidR="008030C5" w:rsidRDefault="008030C5">
      <w:pPr>
        <w:rPr>
          <w:sz w:val="12"/>
          <w:szCs w:val="12"/>
        </w:rPr>
      </w:pPr>
    </w:p>
    <w:p w:rsidR="008030C5" w:rsidRDefault="008030C5">
      <w:pPr>
        <w:rPr>
          <w:sz w:val="12"/>
          <w:szCs w:val="12"/>
        </w:rPr>
      </w:pPr>
    </w:p>
    <w:tbl>
      <w:tblPr>
        <w:tblStyle w:val="afc"/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8030C5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8030C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spacing w:after="60"/>
              <w:rPr>
                <w:b/>
                <w:smallCaps/>
                <w:color w:val="111111"/>
                <w:u w:val="single"/>
              </w:rPr>
            </w:pPr>
            <w:r>
              <w:rPr>
                <w:b/>
                <w:smallCaps/>
                <w:u w:val="single"/>
              </w:rPr>
              <w:t>LI</w:t>
            </w:r>
            <w:r>
              <w:rPr>
                <w:b/>
                <w:smallCaps/>
                <w:color w:val="111111"/>
                <w:u w:val="single"/>
              </w:rPr>
              <w:t>TERATURA PODSTAWOWA:</w:t>
            </w:r>
          </w:p>
          <w:p w:rsidR="008030C5" w:rsidRDefault="007379F5">
            <w:pPr>
              <w:rPr>
                <w:color w:val="111111"/>
                <w:sz w:val="22"/>
                <w:szCs w:val="22"/>
              </w:rPr>
            </w:pPr>
            <w:r>
              <w:rPr>
                <w:color w:val="111111"/>
                <w:sz w:val="22"/>
                <w:szCs w:val="22"/>
              </w:rPr>
              <w:t xml:space="preserve">[1] </w:t>
            </w:r>
            <w:proofErr w:type="spellStart"/>
            <w:r>
              <w:rPr>
                <w:color w:val="111111"/>
                <w:sz w:val="22"/>
                <w:szCs w:val="22"/>
              </w:rPr>
              <w:t>Furnier</w:t>
            </w:r>
            <w:proofErr w:type="spellEnd"/>
            <w:r>
              <w:rPr>
                <w:color w:val="11111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111111"/>
                <w:sz w:val="22"/>
                <w:szCs w:val="22"/>
              </w:rPr>
              <w:t>Camille</w:t>
            </w:r>
            <w:proofErr w:type="spellEnd"/>
            <w:r>
              <w:rPr>
                <w:color w:val="111111"/>
                <w:sz w:val="22"/>
                <w:szCs w:val="22"/>
              </w:rPr>
              <w:t xml:space="preserve">,  </w:t>
            </w:r>
            <w:r>
              <w:rPr>
                <w:i/>
                <w:color w:val="111111"/>
                <w:sz w:val="22"/>
                <w:szCs w:val="22"/>
              </w:rPr>
              <w:t>Od inżyniera do menedżera. Tajniki lidera zespołów technicznych,</w:t>
            </w:r>
            <w:r>
              <w:rPr>
                <w:color w:val="111111"/>
                <w:sz w:val="22"/>
                <w:szCs w:val="22"/>
              </w:rPr>
              <w:t xml:space="preserve"> Wyd. </w:t>
            </w:r>
            <w:proofErr w:type="spellStart"/>
            <w:r>
              <w:rPr>
                <w:color w:val="111111"/>
                <w:sz w:val="22"/>
                <w:szCs w:val="22"/>
              </w:rPr>
              <w:t>Onepress</w:t>
            </w:r>
            <w:proofErr w:type="spellEnd"/>
            <w:r>
              <w:rPr>
                <w:color w:val="111111"/>
                <w:sz w:val="22"/>
                <w:szCs w:val="22"/>
              </w:rPr>
              <w:t xml:space="preserve"> Warszawa, 2017.</w:t>
            </w:r>
          </w:p>
          <w:p w:rsidR="008030C5" w:rsidRDefault="007379F5">
            <w:pPr>
              <w:rPr>
                <w:color w:val="111111"/>
                <w:sz w:val="22"/>
                <w:szCs w:val="22"/>
              </w:rPr>
            </w:pPr>
            <w:r>
              <w:rPr>
                <w:color w:val="111111"/>
                <w:sz w:val="22"/>
                <w:szCs w:val="22"/>
              </w:rPr>
              <w:t xml:space="preserve">[2] </w:t>
            </w:r>
            <w:r>
              <w:rPr>
                <w:i/>
                <w:color w:val="111111"/>
                <w:sz w:val="22"/>
                <w:szCs w:val="22"/>
              </w:rPr>
              <w:t>FIDIC/SIDIR, Warunki kontraktowe dla budowy: dla robót inżynieryjno-budowlanych projektowanych przez zamawiającego</w:t>
            </w:r>
            <w:r>
              <w:rPr>
                <w:color w:val="111111"/>
                <w:sz w:val="22"/>
                <w:szCs w:val="22"/>
              </w:rPr>
              <w:t xml:space="preserve">, Kraków 2005. </w:t>
            </w:r>
          </w:p>
          <w:p w:rsidR="008030C5" w:rsidRDefault="007379F5">
            <w:pPr>
              <w:rPr>
                <w:color w:val="111111"/>
                <w:sz w:val="22"/>
                <w:szCs w:val="22"/>
              </w:rPr>
            </w:pPr>
            <w:r>
              <w:rPr>
                <w:color w:val="111111"/>
                <w:sz w:val="22"/>
                <w:szCs w:val="22"/>
              </w:rPr>
              <w:t xml:space="preserve">[3] Terlecki E., Szok N., </w:t>
            </w:r>
            <w:r>
              <w:rPr>
                <w:i/>
                <w:color w:val="111111"/>
                <w:sz w:val="22"/>
                <w:szCs w:val="22"/>
              </w:rPr>
              <w:t>Prawo pracy w praktyce</w:t>
            </w:r>
            <w:r>
              <w:rPr>
                <w:color w:val="111111"/>
                <w:sz w:val="22"/>
                <w:szCs w:val="22"/>
              </w:rPr>
              <w:t>, Wyd. C.H. Beck Warszawa 2015.</w:t>
            </w:r>
          </w:p>
          <w:p w:rsidR="008030C5" w:rsidRDefault="008030C5">
            <w:pPr>
              <w:rPr>
                <w:color w:val="111111"/>
              </w:rPr>
            </w:pPr>
          </w:p>
          <w:p w:rsidR="008030C5" w:rsidRDefault="007379F5">
            <w:pPr>
              <w:spacing w:after="60"/>
              <w:rPr>
                <w:b/>
                <w:smallCaps/>
                <w:color w:val="111111"/>
                <w:u w:val="single"/>
              </w:rPr>
            </w:pPr>
            <w:r>
              <w:rPr>
                <w:b/>
                <w:smallCaps/>
                <w:color w:val="111111"/>
                <w:sz w:val="22"/>
                <w:szCs w:val="22"/>
                <w:u w:val="single"/>
              </w:rPr>
              <w:t>LITERATURA UZUPEŁNIAJĄCA:</w:t>
            </w:r>
          </w:p>
          <w:p w:rsidR="008030C5" w:rsidRDefault="007379F5">
            <w:pPr>
              <w:tabs>
                <w:tab w:val="left" w:pos="577"/>
              </w:tabs>
              <w:rPr>
                <w:color w:val="111111"/>
              </w:rPr>
            </w:pPr>
            <w:r>
              <w:rPr>
                <w:color w:val="111111"/>
                <w:sz w:val="22"/>
                <w:szCs w:val="22"/>
              </w:rPr>
              <w:t xml:space="preserve">[1] </w:t>
            </w:r>
            <w:proofErr w:type="spellStart"/>
            <w:r>
              <w:rPr>
                <w:color w:val="111111"/>
                <w:sz w:val="22"/>
                <w:szCs w:val="22"/>
              </w:rPr>
              <w:t>Kidyba</w:t>
            </w:r>
            <w:proofErr w:type="spellEnd"/>
            <w:r>
              <w:rPr>
                <w:color w:val="111111"/>
                <w:sz w:val="22"/>
                <w:szCs w:val="22"/>
              </w:rPr>
              <w:t xml:space="preserve"> A., </w:t>
            </w:r>
            <w:r>
              <w:rPr>
                <w:i/>
                <w:color w:val="111111"/>
                <w:sz w:val="22"/>
                <w:szCs w:val="22"/>
              </w:rPr>
              <w:t>Umowy w obrocie gospodarczym</w:t>
            </w:r>
            <w:r>
              <w:rPr>
                <w:color w:val="111111"/>
                <w:sz w:val="22"/>
                <w:szCs w:val="22"/>
              </w:rPr>
              <w:t>, Wyd. Wolters Kluwer, Warszawa 2015</w:t>
            </w:r>
          </w:p>
          <w:p w:rsidR="008030C5" w:rsidRDefault="007379F5">
            <w:pPr>
              <w:tabs>
                <w:tab w:val="left" w:pos="577"/>
              </w:tabs>
              <w:rPr>
                <w:color w:val="111111"/>
              </w:rPr>
            </w:pPr>
            <w:r>
              <w:rPr>
                <w:color w:val="111111"/>
                <w:sz w:val="22"/>
                <w:szCs w:val="22"/>
              </w:rPr>
              <w:t xml:space="preserve">[2] </w:t>
            </w:r>
            <w:proofErr w:type="spellStart"/>
            <w:r>
              <w:rPr>
                <w:color w:val="111111"/>
                <w:sz w:val="22"/>
                <w:szCs w:val="22"/>
              </w:rPr>
              <w:t>Masłyk</w:t>
            </w:r>
            <w:proofErr w:type="spellEnd"/>
            <w:r>
              <w:rPr>
                <w:color w:val="111111"/>
                <w:sz w:val="22"/>
                <w:szCs w:val="22"/>
              </w:rPr>
              <w:t>-Musiał E. Rakowska A., Krajewska-Bińczyk E.,</w:t>
            </w:r>
            <w:r>
              <w:rPr>
                <w:i/>
                <w:color w:val="111111"/>
                <w:sz w:val="22"/>
                <w:szCs w:val="22"/>
              </w:rPr>
              <w:t xml:space="preserve"> Zarządzanie dla inżynierów</w:t>
            </w:r>
            <w:r>
              <w:rPr>
                <w:color w:val="111111"/>
                <w:sz w:val="22"/>
                <w:szCs w:val="22"/>
              </w:rPr>
              <w:t>, PWE Warszawa 2012.</w:t>
            </w:r>
          </w:p>
          <w:p w:rsidR="008030C5" w:rsidRDefault="007379F5">
            <w:pPr>
              <w:rPr>
                <w:color w:val="111111"/>
                <w:sz w:val="22"/>
                <w:szCs w:val="22"/>
              </w:rPr>
            </w:pPr>
            <w:r>
              <w:rPr>
                <w:color w:val="111111"/>
                <w:sz w:val="22"/>
                <w:szCs w:val="22"/>
              </w:rPr>
              <w:t xml:space="preserve">[3] Kruszewska M. </w:t>
            </w:r>
            <w:r>
              <w:rPr>
                <w:i/>
                <w:color w:val="111111"/>
                <w:sz w:val="22"/>
                <w:szCs w:val="22"/>
              </w:rPr>
              <w:t>Nowoczesny inżynier</w:t>
            </w:r>
            <w:r>
              <w:rPr>
                <w:color w:val="111111"/>
                <w:sz w:val="22"/>
                <w:szCs w:val="22"/>
              </w:rPr>
              <w:t xml:space="preserve">, Wyd. </w:t>
            </w:r>
            <w:proofErr w:type="spellStart"/>
            <w:r>
              <w:rPr>
                <w:color w:val="111111"/>
                <w:sz w:val="22"/>
                <w:szCs w:val="22"/>
              </w:rPr>
              <w:t>KaBe</w:t>
            </w:r>
            <w:proofErr w:type="spellEnd"/>
            <w:r>
              <w:rPr>
                <w:color w:val="111111"/>
                <w:sz w:val="22"/>
                <w:szCs w:val="22"/>
              </w:rPr>
              <w:t>, Warszawa 2020.</w:t>
            </w:r>
          </w:p>
        </w:tc>
      </w:tr>
      <w:tr w:rsidR="008030C5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8030C5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C5" w:rsidRDefault="007379F5">
            <w:r>
              <w:t>Aldona Małgorzata Dereń, aldona.deren@pwr.edu.pl</w:t>
            </w:r>
          </w:p>
        </w:tc>
      </w:tr>
    </w:tbl>
    <w:p w:rsidR="008030C5" w:rsidRDefault="008030C5"/>
    <w:sectPr w:rsidR="008030C5">
      <w:footerReference w:type="default" r:id="rId8"/>
      <w:pgSz w:w="11906" w:h="16838"/>
      <w:pgMar w:top="1418" w:right="1418" w:bottom="1135" w:left="1418" w:header="0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B25" w:rsidRDefault="007379F5">
      <w:r>
        <w:separator/>
      </w:r>
    </w:p>
  </w:endnote>
  <w:endnote w:type="continuationSeparator" w:id="0">
    <w:p w:rsidR="00B37B25" w:rsidRDefault="0073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0C5" w:rsidRDefault="008030C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B25" w:rsidRDefault="007379F5">
      <w:r>
        <w:separator/>
      </w:r>
    </w:p>
  </w:footnote>
  <w:footnote w:type="continuationSeparator" w:id="0">
    <w:p w:rsidR="00B37B25" w:rsidRDefault="00737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95375"/>
    <w:multiLevelType w:val="multilevel"/>
    <w:tmpl w:val="EED0383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ind w:left="360" w:hanging="360"/>
      </w:pPr>
    </w:lvl>
    <w:lvl w:ilvl="2">
      <w:start w:val="1"/>
      <w:numFmt w:val="decimal"/>
      <w:pStyle w:val="Nagwek3"/>
      <w:lvlText w:val="%3."/>
      <w:lvlJc w:val="left"/>
      <w:pPr>
        <w:ind w:left="1440" w:hanging="360"/>
      </w:pPr>
    </w:lvl>
    <w:lvl w:ilvl="3">
      <w:start w:val="1"/>
      <w:numFmt w:val="decimal"/>
      <w:pStyle w:val="Nagwek4"/>
      <w:lvlText w:val="%4."/>
      <w:lvlJc w:val="left"/>
      <w:pPr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ind w:left="2160" w:hanging="360"/>
      </w:pPr>
    </w:lvl>
    <w:lvl w:ilvl="5">
      <w:start w:val="1"/>
      <w:numFmt w:val="decimal"/>
      <w:pStyle w:val="Nagwek6"/>
      <w:lvlText w:val="%6."/>
      <w:lvlJc w:val="left"/>
      <w:pPr>
        <w:ind w:left="2520" w:hanging="360"/>
      </w:pPr>
    </w:lvl>
    <w:lvl w:ilvl="6">
      <w:start w:val="1"/>
      <w:numFmt w:val="decimal"/>
      <w:pStyle w:val="Nagwek7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04E6AA5"/>
    <w:multiLevelType w:val="multilevel"/>
    <w:tmpl w:val="0C124C8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0C5"/>
    <w:rsid w:val="007379F5"/>
    <w:rsid w:val="008030C5"/>
    <w:rsid w:val="00B37B25"/>
    <w:rsid w:val="00CA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62EF"/>
  <w15:docId w15:val="{94C4960A-9E9D-4D8A-83F3-58FF2E42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ind w:left="1080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qFormat/>
  </w:style>
  <w:style w:type="character" w:customStyle="1" w:styleId="WW8Num3z1">
    <w:name w:val="WW8Num3z1"/>
    <w:qFormat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styleId="Numerstrony">
    <w:name w:val="page number"/>
    <w:basedOn w:val="Domylnaczcionkaakapitu1"/>
    <w:qFormat/>
  </w:style>
  <w:style w:type="character" w:styleId="UyteHipercze">
    <w:name w:val="FollowedHyperlink"/>
    <w:qFormat/>
    <w:rPr>
      <w:color w:val="800080"/>
      <w:u w:val="single"/>
    </w:rPr>
  </w:style>
  <w:style w:type="character" w:styleId="Odwoaniedokomentarza">
    <w:name w:val="annotation reference"/>
    <w:qFormat/>
    <w:rsid w:val="00182C9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182C94"/>
    <w:rPr>
      <w:lang w:eastAsia="ar-SA"/>
    </w:rPr>
  </w:style>
  <w:style w:type="character" w:customStyle="1" w:styleId="TematkomentarzaZnak">
    <w:name w:val="Temat komentarza Znak"/>
    <w:link w:val="Tematkomentarza"/>
    <w:qFormat/>
    <w:rsid w:val="00182C94"/>
    <w:rPr>
      <w:b/>
      <w:bCs/>
      <w:lang w:eastAsia="ar-SA"/>
    </w:rPr>
  </w:style>
  <w:style w:type="character" w:customStyle="1" w:styleId="TekstdymkaZnak">
    <w:name w:val="Tekst dymka Znak"/>
    <w:link w:val="Tekstdymka"/>
    <w:qFormat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komentarza">
    <w:name w:val="annotation text"/>
    <w:basedOn w:val="Normalny"/>
    <w:link w:val="TekstkomentarzaZnak"/>
    <w:qFormat/>
    <w:rsid w:val="00182C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182C94"/>
    <w:rPr>
      <w:b/>
      <w:bCs/>
    </w:rPr>
  </w:style>
  <w:style w:type="paragraph" w:styleId="Tekstdymka">
    <w:name w:val="Balloon Text"/>
    <w:basedOn w:val="Normalny"/>
    <w:link w:val="TekstdymkaZnak"/>
    <w:qFormat/>
    <w:rsid w:val="00182C9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3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ug92FlAXmaiUIBY3tMwroroloQ==">AMUW2mXfyesCTEZP2hNbLC1rIv/kEwy6laF9wawZdCM9cl7tDTF+iFum18ESFKYzRZ+RjGFBrisnmhpyQ+RsC2iVA4hu5lUzzzMeS3K9466xsOIzrrCxbIL7qz4eU/Nzh/w3TyKC+7+6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836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2022-04-28T10:25:00Z</dcterms:created>
  <dcterms:modified xsi:type="dcterms:W3CDTF">2023-03-02T06:58:00Z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